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1DC" w:rsidRPr="007E31DC" w:rsidRDefault="007E31DC" w:rsidP="007E31DC">
      <w:pPr>
        <w:autoSpaceDE w:val="0"/>
        <w:autoSpaceDN w:val="0"/>
        <w:adjustRightInd w:val="0"/>
        <w:spacing w:after="0" w:line="240" w:lineRule="auto"/>
        <w:ind w:right="48"/>
        <w:jc w:val="both"/>
        <w:rPr>
          <w:rFonts w:ascii="Arial" w:eastAsia="Calibri" w:hAnsi="Arial" w:cs="Arial"/>
          <w:color w:val="000000"/>
          <w:lang w:val="es-ES"/>
        </w:rPr>
      </w:pPr>
    </w:p>
    <w:p w:rsidR="007E31DC" w:rsidRPr="007E31DC" w:rsidRDefault="007E31DC" w:rsidP="00174C14">
      <w:pPr>
        <w:contextualSpacing/>
        <w:jc w:val="center"/>
        <w:rPr>
          <w:rFonts w:ascii="Arial" w:eastAsia="Calibri" w:hAnsi="Arial" w:cs="Arial"/>
          <w:b/>
        </w:rPr>
      </w:pPr>
      <w:r w:rsidRPr="00174C14">
        <w:rPr>
          <w:rFonts w:ascii="Arial" w:eastAsia="Times New Roman" w:hAnsi="Arial" w:cs="Arial"/>
          <w:b/>
          <w:caps/>
          <w:lang w:val="es-ES" w:eastAsia="es-ES"/>
        </w:rPr>
        <w:t>Reglamento PARA LA PROTECCIÓN DE LOS NO FUMADORES EN EL MUN</w:t>
      </w:r>
      <w:r w:rsidR="00174C14" w:rsidRPr="00174C14">
        <w:rPr>
          <w:rFonts w:ascii="Arial" w:eastAsia="Times New Roman" w:hAnsi="Arial" w:cs="Arial"/>
          <w:b/>
          <w:caps/>
          <w:lang w:val="es-ES" w:eastAsia="es-ES"/>
        </w:rPr>
        <w:t>ICIPIO DE MONTERREY, NUEVO LEÓN</w:t>
      </w:r>
      <w:bookmarkStart w:id="0" w:name="_GoBack"/>
      <w:bookmarkEnd w:id="0"/>
    </w:p>
    <w:tbl>
      <w:tblPr>
        <w:tblStyle w:val="Tablaconcuadrcula"/>
        <w:tblW w:w="0" w:type="auto"/>
        <w:tblLook w:val="04A0" w:firstRow="1" w:lastRow="0" w:firstColumn="1" w:lastColumn="0" w:noHBand="0" w:noVBand="1"/>
      </w:tblPr>
      <w:tblGrid>
        <w:gridCol w:w="4489"/>
        <w:gridCol w:w="4489"/>
      </w:tblGrid>
      <w:tr w:rsidR="007E31DC" w:rsidRPr="007E31DC" w:rsidTr="001546E8">
        <w:trPr>
          <w:trHeight w:val="417"/>
        </w:trPr>
        <w:tc>
          <w:tcPr>
            <w:tcW w:w="4489" w:type="dxa"/>
          </w:tcPr>
          <w:p w:rsidR="007E31DC" w:rsidRPr="007E31DC" w:rsidRDefault="007E31DC" w:rsidP="007E31DC">
            <w:pPr>
              <w:jc w:val="center"/>
              <w:rPr>
                <w:rFonts w:ascii="Arial" w:eastAsia="Times New Roman" w:hAnsi="Arial" w:cs="Arial"/>
                <w:b/>
                <w:lang w:val="es-ES" w:eastAsia="es-ES"/>
              </w:rPr>
            </w:pPr>
            <w:r w:rsidRPr="007E31DC">
              <w:rPr>
                <w:rFonts w:ascii="Arial" w:eastAsia="Times New Roman" w:hAnsi="Arial" w:cs="Arial"/>
                <w:b/>
                <w:lang w:val="es-ES" w:eastAsia="es-ES"/>
              </w:rPr>
              <w:t>DICE</w:t>
            </w:r>
          </w:p>
        </w:tc>
        <w:tc>
          <w:tcPr>
            <w:tcW w:w="4489" w:type="dxa"/>
          </w:tcPr>
          <w:p w:rsidR="007E31DC" w:rsidRPr="007E31DC" w:rsidRDefault="007E31DC" w:rsidP="007E31DC">
            <w:pPr>
              <w:jc w:val="center"/>
              <w:rPr>
                <w:rFonts w:ascii="Arial" w:eastAsia="Times New Roman" w:hAnsi="Arial" w:cs="Arial"/>
                <w:b/>
                <w:lang w:val="es-ES" w:eastAsia="es-ES"/>
              </w:rPr>
            </w:pPr>
            <w:r w:rsidRPr="007E31DC">
              <w:rPr>
                <w:rFonts w:ascii="Arial" w:eastAsia="Times New Roman" w:hAnsi="Arial" w:cs="Arial"/>
                <w:b/>
                <w:lang w:val="es-ES" w:eastAsia="es-ES"/>
              </w:rPr>
              <w:t>DEBE DECIR</w:t>
            </w:r>
          </w:p>
        </w:tc>
      </w:tr>
      <w:tr w:rsidR="007E31DC" w:rsidRPr="007E31DC" w:rsidTr="001546E8">
        <w:trPr>
          <w:trHeight w:val="441"/>
        </w:trPr>
        <w:tc>
          <w:tcPr>
            <w:tcW w:w="4489" w:type="dxa"/>
          </w:tcPr>
          <w:p w:rsidR="007E31DC" w:rsidRPr="007E31DC" w:rsidRDefault="007E31DC" w:rsidP="007E31DC">
            <w:pPr>
              <w:jc w:val="both"/>
              <w:rPr>
                <w:rFonts w:ascii="Arial" w:eastAsia="Times New Roman" w:hAnsi="Arial" w:cs="Arial"/>
                <w:b/>
                <w:lang w:val="es-ES" w:eastAsia="es-ES"/>
              </w:rPr>
            </w:pPr>
            <w:r w:rsidRPr="007E31DC">
              <w:rPr>
                <w:rFonts w:ascii="Arial" w:eastAsia="Times New Roman" w:hAnsi="Arial" w:cs="Arial"/>
                <w:lang w:val="es-ES" w:eastAsia="es-ES"/>
              </w:rPr>
              <w:t>ARTÍCULO 1. El presente Reglamento es de orden público e interés general y se expide con fundamento en lo dispuesto en los artículos 115 fracción II de la Constitución Política de los Estados Unidos Mexicanos, 130 de la Constitución Política del Estado de Nuevo León, 160, 161 y 162 de la Ley Orgánica de la Administración Pública Municipal y en la Ley de Protección de los No Fumadores del Estado de Nuevo León.</w:t>
            </w:r>
          </w:p>
        </w:tc>
        <w:tc>
          <w:tcPr>
            <w:tcW w:w="4489" w:type="dxa"/>
          </w:tcPr>
          <w:p w:rsidR="007E31DC" w:rsidRPr="007E31DC" w:rsidRDefault="007E31DC" w:rsidP="007E31DC">
            <w:pPr>
              <w:widowControl w:val="0"/>
              <w:autoSpaceDE w:val="0"/>
              <w:autoSpaceDN w:val="0"/>
              <w:adjustRightInd w:val="0"/>
              <w:jc w:val="both"/>
              <w:rPr>
                <w:rFonts w:ascii="Arial" w:eastAsia="Times New Roman" w:hAnsi="Arial" w:cs="Arial"/>
                <w:iCs/>
                <w:w w:val="106"/>
                <w:lang w:val="es-ES" w:eastAsia="es-ES"/>
              </w:rPr>
            </w:pPr>
          </w:p>
          <w:p w:rsidR="007E31DC" w:rsidRPr="007E31DC" w:rsidRDefault="007E31DC" w:rsidP="007E31DC">
            <w:pPr>
              <w:widowControl w:val="0"/>
              <w:autoSpaceDE w:val="0"/>
              <w:autoSpaceDN w:val="0"/>
              <w:adjustRightInd w:val="0"/>
              <w:jc w:val="both"/>
              <w:rPr>
                <w:rFonts w:ascii="Arial" w:eastAsia="Times New Roman" w:hAnsi="Arial" w:cs="Arial"/>
                <w:iCs/>
                <w:w w:val="106"/>
                <w:lang w:val="es-ES" w:eastAsia="es-ES"/>
              </w:rPr>
            </w:pPr>
            <w:r w:rsidRPr="007E31DC">
              <w:rPr>
                <w:rFonts w:ascii="Arial" w:eastAsia="Times New Roman" w:hAnsi="Arial" w:cs="Arial"/>
                <w:iCs/>
                <w:w w:val="106"/>
                <w:lang w:val="es-ES" w:eastAsia="es-ES"/>
              </w:rPr>
              <w:t xml:space="preserve">ARTÍCULO </w:t>
            </w:r>
            <w:r w:rsidRPr="007E31DC">
              <w:rPr>
                <w:rFonts w:ascii="Arial" w:eastAsia="Times New Roman" w:hAnsi="Arial" w:cs="Arial"/>
                <w:w w:val="105"/>
                <w:lang w:val="es-ES" w:eastAsia="es-ES"/>
              </w:rPr>
              <w:t xml:space="preserve">1. </w:t>
            </w:r>
            <w:r w:rsidRPr="007E31DC">
              <w:rPr>
                <w:rFonts w:ascii="Arial" w:eastAsia="Times New Roman" w:hAnsi="Arial" w:cs="Arial"/>
                <w:iCs/>
                <w:w w:val="106"/>
                <w:lang w:val="es-ES" w:eastAsia="es-ES"/>
              </w:rPr>
              <w:t xml:space="preserve">El presente Reglamento </w:t>
            </w:r>
            <w:r w:rsidRPr="007E31DC">
              <w:rPr>
                <w:rFonts w:ascii="Arial" w:eastAsia="Times New Roman" w:hAnsi="Arial" w:cs="Arial"/>
                <w:lang w:val="es-ES" w:eastAsia="es-ES"/>
              </w:rPr>
              <w:t xml:space="preserve">es </w:t>
            </w:r>
            <w:r w:rsidRPr="007E31DC">
              <w:rPr>
                <w:rFonts w:ascii="Arial" w:eastAsia="Times New Roman" w:hAnsi="Arial" w:cs="Arial"/>
                <w:iCs/>
                <w:w w:val="106"/>
                <w:lang w:val="es-ES" w:eastAsia="es-ES"/>
              </w:rPr>
              <w:t xml:space="preserve">de orden público </w:t>
            </w:r>
            <w:r w:rsidRPr="007E31DC">
              <w:rPr>
                <w:rFonts w:ascii="Arial" w:eastAsia="Times New Roman" w:hAnsi="Arial" w:cs="Arial"/>
                <w:lang w:val="es-ES" w:eastAsia="es-ES"/>
              </w:rPr>
              <w:t xml:space="preserve">e </w:t>
            </w:r>
            <w:r w:rsidRPr="007E31DC">
              <w:rPr>
                <w:rFonts w:ascii="Arial" w:eastAsia="Times New Roman" w:hAnsi="Arial" w:cs="Arial"/>
                <w:iCs/>
                <w:w w:val="106"/>
                <w:lang w:val="es-ES" w:eastAsia="es-ES"/>
              </w:rPr>
              <w:t xml:space="preserve">interés general </w:t>
            </w:r>
            <w:r w:rsidRPr="007E31DC">
              <w:rPr>
                <w:rFonts w:ascii="Arial" w:eastAsia="Times New Roman" w:hAnsi="Arial" w:cs="Arial"/>
                <w:w w:val="122"/>
                <w:lang w:val="es-ES" w:eastAsia="es-ES"/>
              </w:rPr>
              <w:t xml:space="preserve">y </w:t>
            </w:r>
            <w:r w:rsidRPr="007E31DC">
              <w:rPr>
                <w:rFonts w:ascii="Arial" w:eastAsia="Times New Roman" w:hAnsi="Arial" w:cs="Arial"/>
                <w:lang w:val="es-ES" w:eastAsia="es-ES"/>
              </w:rPr>
              <w:t xml:space="preserve">se </w:t>
            </w:r>
            <w:r w:rsidRPr="007E31DC">
              <w:rPr>
                <w:rFonts w:ascii="Arial" w:eastAsia="Times New Roman" w:hAnsi="Arial" w:cs="Arial"/>
                <w:iCs/>
                <w:w w:val="106"/>
                <w:lang w:val="es-ES" w:eastAsia="es-ES"/>
              </w:rPr>
              <w:t xml:space="preserve">expide con fundamento </w:t>
            </w:r>
            <w:r w:rsidRPr="007E31DC">
              <w:rPr>
                <w:rFonts w:ascii="Arial" w:eastAsia="Times New Roman" w:hAnsi="Arial" w:cs="Arial"/>
                <w:lang w:val="es-ES" w:eastAsia="es-ES"/>
              </w:rPr>
              <w:t xml:space="preserve">en </w:t>
            </w:r>
            <w:r w:rsidRPr="007E31DC">
              <w:rPr>
                <w:rFonts w:ascii="Arial" w:eastAsia="Times New Roman" w:hAnsi="Arial" w:cs="Arial"/>
                <w:iCs/>
                <w:w w:val="106"/>
                <w:lang w:val="es-ES" w:eastAsia="es-ES"/>
              </w:rPr>
              <w:t xml:space="preserve">lo dispuesto </w:t>
            </w:r>
            <w:r w:rsidRPr="007E31DC">
              <w:rPr>
                <w:rFonts w:ascii="Arial" w:eastAsia="Times New Roman" w:hAnsi="Arial" w:cs="Arial"/>
                <w:lang w:val="es-ES" w:eastAsia="es-ES"/>
              </w:rPr>
              <w:t xml:space="preserve">en </w:t>
            </w:r>
            <w:r w:rsidRPr="007E31DC">
              <w:rPr>
                <w:rFonts w:ascii="Arial" w:eastAsia="Times New Roman" w:hAnsi="Arial" w:cs="Arial"/>
                <w:iCs/>
                <w:w w:val="106"/>
                <w:lang w:val="es-ES" w:eastAsia="es-ES"/>
              </w:rPr>
              <w:t xml:space="preserve">los artículos </w:t>
            </w:r>
            <w:r w:rsidRPr="007E31DC">
              <w:rPr>
                <w:rFonts w:ascii="Arial" w:eastAsia="Times New Roman" w:hAnsi="Arial" w:cs="Arial"/>
                <w:w w:val="112"/>
                <w:lang w:val="es-ES" w:eastAsia="es-ES"/>
              </w:rPr>
              <w:t xml:space="preserve">115 </w:t>
            </w:r>
            <w:r w:rsidRPr="007E31DC">
              <w:rPr>
                <w:rFonts w:ascii="Arial" w:eastAsia="Times New Roman" w:hAnsi="Arial" w:cs="Arial"/>
                <w:iCs/>
                <w:w w:val="106"/>
                <w:lang w:val="es-ES" w:eastAsia="es-ES"/>
              </w:rPr>
              <w:t>fracción II</w:t>
            </w:r>
            <w:r w:rsidRPr="007E31DC">
              <w:rPr>
                <w:rFonts w:ascii="Arial" w:eastAsia="Times New Roman" w:hAnsi="Arial" w:cs="Arial"/>
                <w:iCs/>
                <w:w w:val="58"/>
                <w:lang w:val="es-ES" w:eastAsia="es-ES"/>
              </w:rPr>
              <w:t xml:space="preserve"> </w:t>
            </w:r>
            <w:r w:rsidRPr="007E31DC">
              <w:rPr>
                <w:rFonts w:ascii="Arial" w:eastAsia="Times New Roman" w:hAnsi="Arial" w:cs="Arial"/>
                <w:iCs/>
                <w:w w:val="106"/>
                <w:lang w:val="es-ES" w:eastAsia="es-ES"/>
              </w:rPr>
              <w:t xml:space="preserve">de la Constitución Política de los Estados Unidos Mexicanos, 130 de la Constitución Política del Estado Libre y Soberano  de Nuevo León, 227 y 228 de la Ley de Gobierno Municipal para el Estado de Nuevo León </w:t>
            </w:r>
            <w:r w:rsidRPr="007E31DC">
              <w:rPr>
                <w:rFonts w:ascii="Arial" w:eastAsia="Times New Roman" w:hAnsi="Arial" w:cs="Arial"/>
                <w:w w:val="118"/>
                <w:lang w:val="es-ES" w:eastAsia="es-ES"/>
              </w:rPr>
              <w:t xml:space="preserve">y </w:t>
            </w:r>
            <w:r w:rsidRPr="007E31DC">
              <w:rPr>
                <w:rFonts w:ascii="Arial" w:eastAsia="Times New Roman" w:hAnsi="Arial" w:cs="Arial"/>
                <w:lang w:val="es-ES" w:eastAsia="es-ES"/>
              </w:rPr>
              <w:t xml:space="preserve">en </w:t>
            </w:r>
            <w:r w:rsidRPr="007E31DC">
              <w:rPr>
                <w:rFonts w:ascii="Arial" w:eastAsia="Times New Roman" w:hAnsi="Arial" w:cs="Arial"/>
                <w:iCs/>
                <w:w w:val="106"/>
                <w:lang w:val="es-ES" w:eastAsia="es-ES"/>
              </w:rPr>
              <w:t xml:space="preserve">la Ley de Protección de los No Fumadores del Estado de Nuevo León. </w:t>
            </w:r>
          </w:p>
          <w:p w:rsidR="007E31DC" w:rsidRPr="007E31DC" w:rsidRDefault="007E31DC" w:rsidP="007E31DC">
            <w:pPr>
              <w:jc w:val="center"/>
              <w:rPr>
                <w:rFonts w:ascii="Arial" w:eastAsia="Times New Roman" w:hAnsi="Arial" w:cs="Arial"/>
                <w:b/>
                <w:lang w:val="es-ES" w:eastAsia="es-ES"/>
              </w:rPr>
            </w:pPr>
          </w:p>
        </w:tc>
      </w:tr>
      <w:tr w:rsidR="007E31DC" w:rsidRPr="007E31DC" w:rsidTr="001546E8">
        <w:trPr>
          <w:trHeight w:val="3540"/>
        </w:trPr>
        <w:tc>
          <w:tcPr>
            <w:tcW w:w="4489" w:type="dxa"/>
          </w:tcPr>
          <w:p w:rsidR="007E31DC" w:rsidRPr="007E31DC" w:rsidRDefault="007E31DC" w:rsidP="007E31DC">
            <w:pPr>
              <w:jc w:val="both"/>
              <w:rPr>
                <w:rFonts w:ascii="Arial" w:eastAsia="Times New Roman" w:hAnsi="Arial" w:cs="Arial"/>
                <w:lang w:val="es-ES" w:eastAsia="es-ES"/>
              </w:rPr>
            </w:pPr>
            <w:r w:rsidRPr="007E31DC">
              <w:rPr>
                <w:rFonts w:ascii="Arial" w:eastAsia="Times New Roman" w:hAnsi="Arial" w:cs="Arial"/>
                <w:lang w:val="es-ES" w:eastAsia="es-ES"/>
              </w:rPr>
              <w:t xml:space="preserve">Capítulo VIII </w:t>
            </w:r>
          </w:p>
          <w:p w:rsidR="007E31DC" w:rsidRPr="007E31DC" w:rsidRDefault="007E31DC" w:rsidP="007E31DC">
            <w:pPr>
              <w:jc w:val="both"/>
              <w:rPr>
                <w:rFonts w:ascii="Arial" w:eastAsia="Times New Roman" w:hAnsi="Arial" w:cs="Arial"/>
                <w:lang w:val="es-ES" w:eastAsia="es-ES"/>
              </w:rPr>
            </w:pPr>
          </w:p>
          <w:p w:rsidR="007E31DC" w:rsidRPr="007E31DC" w:rsidRDefault="007E31DC" w:rsidP="007E31DC">
            <w:pPr>
              <w:jc w:val="both"/>
              <w:rPr>
                <w:rFonts w:ascii="Arial" w:eastAsia="Times New Roman" w:hAnsi="Arial" w:cs="Arial"/>
                <w:lang w:val="es-ES" w:eastAsia="es-ES"/>
              </w:rPr>
            </w:pPr>
            <w:r w:rsidRPr="007E31DC">
              <w:rPr>
                <w:rFonts w:ascii="Arial" w:eastAsia="Times New Roman" w:hAnsi="Arial" w:cs="Arial"/>
                <w:lang w:val="es-ES" w:eastAsia="es-ES"/>
              </w:rPr>
              <w:t>Del recurso de inconformidad</w:t>
            </w:r>
          </w:p>
          <w:p w:rsidR="007E31DC" w:rsidRPr="007E31DC" w:rsidRDefault="007E31DC" w:rsidP="007E31DC">
            <w:pPr>
              <w:jc w:val="both"/>
              <w:rPr>
                <w:rFonts w:ascii="Arial" w:eastAsia="Times New Roman" w:hAnsi="Arial" w:cs="Arial"/>
                <w:lang w:val="es-ES" w:eastAsia="es-ES"/>
              </w:rPr>
            </w:pPr>
          </w:p>
          <w:p w:rsidR="007E31DC" w:rsidRPr="007E31DC" w:rsidRDefault="007E31DC" w:rsidP="007E31DC">
            <w:pPr>
              <w:jc w:val="both"/>
              <w:rPr>
                <w:rFonts w:ascii="Arial" w:eastAsia="Times New Roman" w:hAnsi="Arial" w:cs="Arial"/>
                <w:lang w:val="es-ES" w:eastAsia="es-ES"/>
              </w:rPr>
            </w:pPr>
          </w:p>
          <w:p w:rsidR="007E31DC" w:rsidRPr="007E31DC" w:rsidRDefault="007E31DC" w:rsidP="007E31DC">
            <w:pPr>
              <w:jc w:val="both"/>
              <w:rPr>
                <w:rFonts w:ascii="Arial" w:eastAsia="Times New Roman" w:hAnsi="Arial" w:cs="Arial"/>
                <w:lang w:val="es-ES" w:eastAsia="es-ES"/>
              </w:rPr>
            </w:pPr>
            <w:r w:rsidRPr="007E31DC">
              <w:rPr>
                <w:rFonts w:ascii="Arial" w:eastAsia="Times New Roman" w:hAnsi="Arial" w:cs="Arial"/>
                <w:lang w:val="es-ES" w:eastAsia="es-ES"/>
              </w:rPr>
              <w:t xml:space="preserve">ARTÍCULO 32. El recurso de inconformidad tiene por objeto que el Director de Salud Pública Municipal revoque o modifique las resoluciones administrativas que se reclaman, sin perjuicio de los de otros recursos legales que determinen las leyes. </w:t>
            </w:r>
          </w:p>
          <w:p w:rsidR="007E31DC" w:rsidRPr="007E31DC" w:rsidRDefault="007E31DC" w:rsidP="007E31DC">
            <w:pPr>
              <w:jc w:val="both"/>
              <w:rPr>
                <w:rFonts w:ascii="Arial" w:eastAsia="Times New Roman" w:hAnsi="Arial" w:cs="Arial"/>
                <w:lang w:val="es-ES" w:eastAsia="es-ES"/>
              </w:rPr>
            </w:pPr>
          </w:p>
          <w:p w:rsidR="007E31DC" w:rsidRPr="007E31DC" w:rsidRDefault="007E31DC" w:rsidP="007E31DC">
            <w:pPr>
              <w:jc w:val="both"/>
              <w:rPr>
                <w:rFonts w:ascii="Arial" w:eastAsia="Times New Roman" w:hAnsi="Arial" w:cs="Arial"/>
                <w:lang w:val="es-ES" w:eastAsia="es-ES"/>
              </w:rPr>
            </w:pPr>
            <w:r w:rsidRPr="007E31DC">
              <w:rPr>
                <w:rFonts w:ascii="Arial" w:eastAsia="Times New Roman" w:hAnsi="Arial" w:cs="Arial"/>
                <w:lang w:val="es-ES" w:eastAsia="es-ES"/>
              </w:rPr>
              <w:t xml:space="preserve">ARTÍCULO 33. La inconformidad deberá presentarse por escrito ante el Director de Salud Pública Municipal, dentro de los diez días hábiles siguientes a partir de la notificación del acto que se reclama y se suspenderán los efectos de la resolución, cuando éstos no se hayan consumado, siempre que no se altere el orden público o el interés social. </w:t>
            </w:r>
          </w:p>
          <w:p w:rsidR="007E31DC" w:rsidRPr="007E31DC" w:rsidRDefault="007E31DC" w:rsidP="007E31DC">
            <w:pPr>
              <w:jc w:val="both"/>
              <w:rPr>
                <w:rFonts w:ascii="Arial" w:eastAsia="Times New Roman" w:hAnsi="Arial" w:cs="Arial"/>
                <w:lang w:val="es-ES" w:eastAsia="es-ES"/>
              </w:rPr>
            </w:pPr>
          </w:p>
          <w:p w:rsidR="007E31DC" w:rsidRPr="007E31DC" w:rsidRDefault="007E31DC" w:rsidP="007E31DC">
            <w:pPr>
              <w:jc w:val="both"/>
              <w:rPr>
                <w:rFonts w:ascii="Arial" w:eastAsia="Times New Roman" w:hAnsi="Arial" w:cs="Arial"/>
                <w:lang w:val="es-ES" w:eastAsia="es-ES"/>
              </w:rPr>
            </w:pPr>
            <w:r w:rsidRPr="007E31DC">
              <w:rPr>
                <w:rFonts w:ascii="Arial" w:eastAsia="Times New Roman" w:hAnsi="Arial" w:cs="Arial"/>
                <w:lang w:val="es-ES" w:eastAsia="es-ES"/>
              </w:rPr>
              <w:t xml:space="preserve">ARTÍCULO 34. En el escrito de inconformidad se expresarán: nombre, domicilio de quien promueve, los agravios que se considere que le causan, la resolución que motiva el recurso y la autoridad que hayan dictado el acto reclamado. En el mismo escrito deberán ofrecerse las pruebas y alegatos, especificando los puntos sobre los que </w:t>
            </w:r>
            <w:r w:rsidRPr="007E31DC">
              <w:rPr>
                <w:rFonts w:ascii="Arial" w:eastAsia="Times New Roman" w:hAnsi="Arial" w:cs="Arial"/>
                <w:lang w:val="es-ES" w:eastAsia="es-ES"/>
              </w:rPr>
              <w:lastRenderedPageBreak/>
              <w:t xml:space="preserve">deban versar, mismos que en ningún caso serán extraños a la cuestión debatida. </w:t>
            </w:r>
          </w:p>
          <w:p w:rsidR="007E31DC" w:rsidRPr="007E31DC" w:rsidRDefault="007E31DC" w:rsidP="007E31DC">
            <w:pPr>
              <w:jc w:val="both"/>
              <w:rPr>
                <w:rFonts w:ascii="Arial" w:eastAsia="Times New Roman" w:hAnsi="Arial" w:cs="Arial"/>
                <w:lang w:val="es-ES" w:eastAsia="es-ES"/>
              </w:rPr>
            </w:pPr>
          </w:p>
          <w:p w:rsidR="007E31DC" w:rsidRPr="007E31DC" w:rsidRDefault="007E31DC" w:rsidP="007E31DC">
            <w:pPr>
              <w:jc w:val="both"/>
              <w:rPr>
                <w:rFonts w:ascii="Arial" w:eastAsia="Times New Roman" w:hAnsi="Arial" w:cs="Arial"/>
                <w:lang w:val="es-ES" w:eastAsia="es-ES"/>
              </w:rPr>
            </w:pPr>
            <w:r w:rsidRPr="007E31DC">
              <w:rPr>
                <w:rFonts w:ascii="Arial" w:eastAsia="Times New Roman" w:hAnsi="Arial" w:cs="Arial"/>
                <w:lang w:val="es-ES" w:eastAsia="es-ES"/>
              </w:rPr>
              <w:t xml:space="preserve">ARTÍCULO 35. Admitido el recurso interpuesto se señalará el día y hora para la celebración de una audiencia en la que se oirá en defensa al interesado, y se desahogarán las pruebas ofrecidas, levantándose al término de las mismas, acta suscrita por los que en ella hayan intervenido. </w:t>
            </w:r>
          </w:p>
          <w:p w:rsidR="007E31DC" w:rsidRPr="007E31DC" w:rsidRDefault="007E31DC" w:rsidP="007E31DC">
            <w:pPr>
              <w:jc w:val="both"/>
              <w:rPr>
                <w:rFonts w:ascii="Arial" w:eastAsia="Times New Roman" w:hAnsi="Arial" w:cs="Arial"/>
                <w:lang w:val="es-ES" w:eastAsia="es-ES"/>
              </w:rPr>
            </w:pPr>
          </w:p>
          <w:p w:rsidR="007E31DC" w:rsidRPr="007E31DC" w:rsidRDefault="007E31DC" w:rsidP="007E31DC">
            <w:pPr>
              <w:jc w:val="both"/>
              <w:rPr>
                <w:rFonts w:ascii="Arial" w:eastAsia="Times New Roman" w:hAnsi="Arial" w:cs="Arial"/>
                <w:lang w:val="es-ES" w:eastAsia="es-ES"/>
              </w:rPr>
            </w:pPr>
            <w:r w:rsidRPr="007E31DC">
              <w:rPr>
                <w:rFonts w:ascii="Arial" w:eastAsia="Times New Roman" w:hAnsi="Arial" w:cs="Arial"/>
                <w:lang w:val="es-ES" w:eastAsia="es-ES"/>
              </w:rPr>
              <w:t>ARTÍCULO 36. El Director de Salud Pública Municipal dictará y notificará la resolución que corresponda, debidamente fundada y motivada, en un plazo de tres días hábiles, misma que deberá notificar al interesado personalmente en los términos del Código de Procedimientos Civiles para el Estado de Nuevo León. Si transcurrido el plazo no se ha notificado la resolución que corresponda, se entenderá que el recurso ha sido resuelto en sentido favorable al recurrente.</w:t>
            </w:r>
          </w:p>
          <w:p w:rsidR="007E31DC" w:rsidRPr="007E31DC" w:rsidRDefault="007E31DC" w:rsidP="007E31DC">
            <w:pPr>
              <w:jc w:val="both"/>
              <w:rPr>
                <w:rFonts w:ascii="Arial" w:eastAsia="Times New Roman" w:hAnsi="Arial" w:cs="Arial"/>
                <w:lang w:val="es-ES" w:eastAsia="es-ES"/>
              </w:rPr>
            </w:pPr>
          </w:p>
        </w:tc>
        <w:tc>
          <w:tcPr>
            <w:tcW w:w="4489" w:type="dxa"/>
          </w:tcPr>
          <w:p w:rsidR="007E31DC" w:rsidRPr="007E31DC" w:rsidRDefault="007E31DC" w:rsidP="007E31DC">
            <w:pPr>
              <w:jc w:val="both"/>
              <w:rPr>
                <w:rFonts w:ascii="Arial" w:eastAsia="Helvetica" w:hAnsi="Arial" w:cs="Arial"/>
                <w:color w:val="000000"/>
                <w:bdr w:val="nil"/>
                <w:lang w:eastAsia="es-MX"/>
              </w:rPr>
            </w:pPr>
            <w:r w:rsidRPr="007E31DC">
              <w:rPr>
                <w:rFonts w:ascii="Arial" w:eastAsia="Helvetica" w:hAnsi="Arial" w:cs="Arial"/>
                <w:color w:val="000000"/>
                <w:bdr w:val="nil"/>
                <w:lang w:eastAsia="es-MX"/>
              </w:rPr>
              <w:lastRenderedPageBreak/>
              <w:t>CAPÍTULO VIII</w:t>
            </w:r>
          </w:p>
          <w:p w:rsidR="007E31DC" w:rsidRPr="007E31DC" w:rsidRDefault="007E31DC" w:rsidP="007E31DC">
            <w:pPr>
              <w:jc w:val="both"/>
              <w:rPr>
                <w:rFonts w:ascii="Arial" w:eastAsia="Helvetica" w:hAnsi="Arial" w:cs="Arial"/>
                <w:color w:val="000000"/>
                <w:bdr w:val="nil"/>
                <w:lang w:eastAsia="es-MX"/>
              </w:rPr>
            </w:pPr>
          </w:p>
          <w:p w:rsidR="007E31DC" w:rsidRPr="007E31DC" w:rsidRDefault="007E31DC" w:rsidP="007E31DC">
            <w:pPr>
              <w:jc w:val="both"/>
              <w:rPr>
                <w:rFonts w:ascii="Arial" w:eastAsia="Helvetica" w:hAnsi="Arial" w:cs="Arial"/>
                <w:b/>
                <w:color w:val="000000"/>
                <w:bdr w:val="nil"/>
                <w:lang w:eastAsia="es-MX"/>
              </w:rPr>
            </w:pPr>
            <w:r w:rsidRPr="007E31DC">
              <w:rPr>
                <w:rFonts w:ascii="Arial" w:eastAsia="Helvetica" w:hAnsi="Arial" w:cs="Arial"/>
                <w:color w:val="000000"/>
                <w:bdr w:val="nil"/>
                <w:lang w:eastAsia="es-MX"/>
              </w:rPr>
              <w:t>DEL RECURSO ÚNICO DE INCONFORMIDAD</w:t>
            </w:r>
          </w:p>
          <w:p w:rsidR="007E31DC" w:rsidRPr="007E31DC" w:rsidRDefault="007E31DC" w:rsidP="007E31DC">
            <w:pPr>
              <w:jc w:val="both"/>
              <w:rPr>
                <w:rFonts w:ascii="Arial" w:eastAsia="Helvetica" w:hAnsi="Arial" w:cs="Arial"/>
                <w:color w:val="000000"/>
                <w:bdr w:val="nil"/>
                <w:lang w:eastAsia="es-MX"/>
              </w:rPr>
            </w:pPr>
          </w:p>
          <w:p w:rsidR="007E31DC" w:rsidRPr="007E31DC" w:rsidRDefault="007E31DC" w:rsidP="007E31DC">
            <w:pPr>
              <w:jc w:val="both"/>
              <w:rPr>
                <w:rFonts w:ascii="Arial" w:eastAsia="Helvetica" w:hAnsi="Arial" w:cs="Arial"/>
                <w:color w:val="000000"/>
                <w:bdr w:val="nil"/>
                <w:lang w:eastAsia="es-MX"/>
              </w:rPr>
            </w:pPr>
            <w:r w:rsidRPr="007E31DC">
              <w:rPr>
                <w:rFonts w:ascii="Arial" w:eastAsia="Helvetica" w:hAnsi="Arial" w:cs="Arial"/>
                <w:color w:val="000000"/>
                <w:bdr w:val="nil"/>
                <w:lang w:eastAsia="es-MX"/>
              </w:rPr>
              <w:t>ARTÍCULO 32. El Procedimiento Administrativo único de recurso de inconformidad procederá en contra de los actos emitidos por las autoridades del Municipio de Monterrey, con excepción de aquellos recursos cuyo procedimiento esté regulado en la Legislación Estatal.</w:t>
            </w:r>
          </w:p>
          <w:p w:rsidR="007E31DC" w:rsidRPr="007E31DC" w:rsidRDefault="007E31DC" w:rsidP="007E31DC">
            <w:pPr>
              <w:jc w:val="both"/>
              <w:rPr>
                <w:rFonts w:ascii="Arial" w:eastAsia="Helvetica" w:hAnsi="Arial" w:cs="Arial"/>
                <w:color w:val="000000"/>
                <w:bdr w:val="nil"/>
                <w:lang w:eastAsia="es-MX"/>
              </w:rPr>
            </w:pPr>
          </w:p>
          <w:p w:rsidR="007E31DC" w:rsidRPr="007E31DC" w:rsidRDefault="007E31DC" w:rsidP="007E31DC">
            <w:pPr>
              <w:jc w:val="both"/>
              <w:rPr>
                <w:rFonts w:ascii="Arial" w:eastAsia="Helvetica" w:hAnsi="Arial" w:cs="Arial"/>
                <w:color w:val="000000"/>
                <w:bdr w:val="nil"/>
                <w:lang w:eastAsia="es-MX"/>
              </w:rPr>
            </w:pPr>
            <w:r w:rsidRPr="007E31DC">
              <w:rPr>
                <w:rFonts w:ascii="Arial" w:eastAsia="Helvetica" w:hAnsi="Arial" w:cs="Arial"/>
                <w:color w:val="000000"/>
                <w:bdr w:val="nil"/>
                <w:lang w:eastAsia="es-MX"/>
              </w:rPr>
              <w:t>ARTÍCULO 33. El recurso de inconformidad se tramitará conforme a las disposiciones del Reglamento que Regula el Procedimiento Único de Inconformidad en el Municipio de Monterrey, y a falta de disposición expresa, se aplicará supletoriamente la Ley de Justicia Administrativa para el Estado y Municipios de Nuevo León en primer término, o el derecho común en segundo término.</w:t>
            </w:r>
          </w:p>
          <w:p w:rsidR="007E31DC" w:rsidRPr="007E31DC" w:rsidRDefault="007E31DC" w:rsidP="007E31DC">
            <w:pPr>
              <w:jc w:val="both"/>
              <w:rPr>
                <w:rFonts w:ascii="Arial" w:eastAsia="Helvetica" w:hAnsi="Arial" w:cs="Arial"/>
                <w:color w:val="000000"/>
                <w:bdr w:val="nil"/>
                <w:lang w:eastAsia="es-MX"/>
              </w:rPr>
            </w:pPr>
          </w:p>
          <w:p w:rsidR="007E31DC" w:rsidRPr="007E31DC" w:rsidRDefault="007E31DC" w:rsidP="007E31DC">
            <w:pPr>
              <w:jc w:val="both"/>
              <w:rPr>
                <w:rFonts w:ascii="Arial" w:eastAsia="Helvetica" w:hAnsi="Arial" w:cs="Arial"/>
                <w:color w:val="000000"/>
                <w:bdr w:val="nil"/>
                <w:lang w:eastAsia="es-MX"/>
              </w:rPr>
            </w:pPr>
            <w:r w:rsidRPr="007E31DC">
              <w:rPr>
                <w:rFonts w:ascii="Arial" w:eastAsia="Helvetica" w:hAnsi="Arial" w:cs="Arial"/>
                <w:color w:val="000000"/>
                <w:bdr w:val="nil"/>
                <w:lang w:eastAsia="es-MX"/>
              </w:rPr>
              <w:t>ARTÍCULO 34. SE DEROGA</w:t>
            </w:r>
          </w:p>
          <w:p w:rsidR="007E31DC" w:rsidRPr="007E31DC" w:rsidRDefault="007E31DC" w:rsidP="007E31DC">
            <w:pPr>
              <w:jc w:val="both"/>
              <w:rPr>
                <w:rFonts w:ascii="Arial" w:eastAsia="Helvetica" w:hAnsi="Arial" w:cs="Arial"/>
                <w:color w:val="000000"/>
                <w:bdr w:val="nil"/>
                <w:lang w:eastAsia="es-MX"/>
              </w:rPr>
            </w:pPr>
          </w:p>
          <w:p w:rsidR="007E31DC" w:rsidRPr="007E31DC" w:rsidRDefault="007E31DC" w:rsidP="007E31DC">
            <w:pPr>
              <w:jc w:val="both"/>
              <w:rPr>
                <w:rFonts w:ascii="Arial" w:eastAsia="Helvetica" w:hAnsi="Arial" w:cs="Arial"/>
                <w:color w:val="000000"/>
                <w:bdr w:val="nil"/>
                <w:lang w:eastAsia="es-MX"/>
              </w:rPr>
            </w:pPr>
            <w:r w:rsidRPr="007E31DC">
              <w:rPr>
                <w:rFonts w:ascii="Arial" w:eastAsia="Helvetica" w:hAnsi="Arial" w:cs="Arial"/>
                <w:color w:val="000000"/>
                <w:bdr w:val="nil"/>
                <w:lang w:eastAsia="es-MX"/>
              </w:rPr>
              <w:t>ARTÍCULO 35. SE DEROGA</w:t>
            </w:r>
          </w:p>
          <w:p w:rsidR="007E31DC" w:rsidRPr="007E31DC" w:rsidRDefault="007E31DC" w:rsidP="007E31DC">
            <w:pPr>
              <w:jc w:val="both"/>
              <w:rPr>
                <w:rFonts w:ascii="Arial" w:eastAsia="Helvetica" w:hAnsi="Arial" w:cs="Arial"/>
                <w:color w:val="000000"/>
                <w:bdr w:val="nil"/>
                <w:lang w:eastAsia="es-MX"/>
              </w:rPr>
            </w:pPr>
          </w:p>
          <w:p w:rsidR="007E31DC" w:rsidRPr="007E31DC" w:rsidRDefault="007E31DC" w:rsidP="007E31DC">
            <w:pPr>
              <w:jc w:val="both"/>
              <w:rPr>
                <w:rFonts w:ascii="Arial" w:eastAsia="Helvetica" w:hAnsi="Arial" w:cs="Arial"/>
                <w:color w:val="000000"/>
                <w:bdr w:val="nil"/>
                <w:lang w:eastAsia="es-MX"/>
              </w:rPr>
            </w:pPr>
            <w:r w:rsidRPr="007E31DC">
              <w:rPr>
                <w:rFonts w:ascii="Arial" w:eastAsia="Helvetica" w:hAnsi="Arial" w:cs="Arial"/>
                <w:color w:val="000000"/>
                <w:bdr w:val="nil"/>
                <w:lang w:eastAsia="es-MX"/>
              </w:rPr>
              <w:t>ARTÍCULO 36. SE DEROGA</w:t>
            </w:r>
          </w:p>
        </w:tc>
      </w:tr>
      <w:tr w:rsidR="007E31DC" w:rsidRPr="007E31DC" w:rsidTr="001546E8">
        <w:trPr>
          <w:trHeight w:val="330"/>
        </w:trPr>
        <w:tc>
          <w:tcPr>
            <w:tcW w:w="4489" w:type="dxa"/>
          </w:tcPr>
          <w:p w:rsidR="007E31DC" w:rsidRPr="007E31DC" w:rsidRDefault="007E31DC" w:rsidP="007E31DC">
            <w:pPr>
              <w:jc w:val="both"/>
              <w:rPr>
                <w:rFonts w:ascii="Arial" w:eastAsia="Times New Roman" w:hAnsi="Arial" w:cs="Arial"/>
                <w:lang w:val="es-ES" w:eastAsia="es-ES"/>
              </w:rPr>
            </w:pPr>
            <w:r w:rsidRPr="007E31DC">
              <w:rPr>
                <w:rFonts w:ascii="Arial" w:eastAsia="Times New Roman" w:hAnsi="Arial" w:cs="Arial"/>
                <w:lang w:val="es-ES" w:eastAsia="es-ES"/>
              </w:rPr>
              <w:lastRenderedPageBreak/>
              <w:t xml:space="preserve">Capítulo IX </w:t>
            </w:r>
          </w:p>
          <w:p w:rsidR="007E31DC" w:rsidRPr="007E31DC" w:rsidRDefault="007E31DC" w:rsidP="007E31DC">
            <w:pPr>
              <w:jc w:val="both"/>
              <w:rPr>
                <w:rFonts w:ascii="Arial" w:eastAsia="Times New Roman" w:hAnsi="Arial" w:cs="Arial"/>
                <w:lang w:val="es-ES" w:eastAsia="es-ES"/>
              </w:rPr>
            </w:pPr>
          </w:p>
          <w:p w:rsidR="007E31DC" w:rsidRPr="007E31DC" w:rsidRDefault="007E31DC" w:rsidP="007E31DC">
            <w:pPr>
              <w:jc w:val="both"/>
              <w:rPr>
                <w:rFonts w:ascii="Arial" w:eastAsia="Times New Roman" w:hAnsi="Arial" w:cs="Arial"/>
                <w:lang w:val="es-ES" w:eastAsia="es-ES"/>
              </w:rPr>
            </w:pPr>
            <w:r w:rsidRPr="007E31DC">
              <w:rPr>
                <w:rFonts w:ascii="Arial" w:eastAsia="Times New Roman" w:hAnsi="Arial" w:cs="Arial"/>
                <w:lang w:val="es-ES" w:eastAsia="es-ES"/>
              </w:rPr>
              <w:t xml:space="preserve">De la Participación Ciudadana </w:t>
            </w:r>
          </w:p>
          <w:p w:rsidR="007E31DC" w:rsidRPr="007E31DC" w:rsidRDefault="007E31DC" w:rsidP="007E31DC">
            <w:pPr>
              <w:jc w:val="both"/>
              <w:rPr>
                <w:rFonts w:ascii="Arial" w:eastAsia="Times New Roman" w:hAnsi="Arial" w:cs="Arial"/>
                <w:lang w:val="es-ES" w:eastAsia="es-ES"/>
              </w:rPr>
            </w:pPr>
          </w:p>
          <w:p w:rsidR="007E31DC" w:rsidRPr="007E31DC" w:rsidRDefault="007E31DC" w:rsidP="007E31DC">
            <w:pPr>
              <w:jc w:val="both"/>
              <w:rPr>
                <w:rFonts w:ascii="Arial" w:eastAsia="Times New Roman" w:hAnsi="Arial" w:cs="Arial"/>
                <w:lang w:val="es-ES" w:eastAsia="es-ES"/>
              </w:rPr>
            </w:pPr>
            <w:r w:rsidRPr="007E31DC">
              <w:rPr>
                <w:rFonts w:ascii="Arial" w:eastAsia="Times New Roman" w:hAnsi="Arial" w:cs="Arial"/>
                <w:lang w:val="es-ES" w:eastAsia="es-ES"/>
              </w:rPr>
              <w:t>ARTÍCULO 37. El presente Reglamento puede ser reformado y adicionado. Para que las reformas o adiciones tengan valor deberán ser votadas cuando menos por las dos terceras partes de los miembros del R. Ayuntamiento.</w:t>
            </w:r>
          </w:p>
          <w:p w:rsidR="007E31DC" w:rsidRPr="007E31DC" w:rsidRDefault="007E31DC" w:rsidP="007E31DC">
            <w:pPr>
              <w:jc w:val="both"/>
              <w:rPr>
                <w:rFonts w:ascii="Arial" w:eastAsia="Times New Roman" w:hAnsi="Arial" w:cs="Arial"/>
                <w:lang w:val="es-ES" w:eastAsia="es-ES"/>
              </w:rPr>
            </w:pPr>
          </w:p>
          <w:p w:rsidR="007E31DC" w:rsidRPr="007E31DC" w:rsidRDefault="007E31DC" w:rsidP="007E31DC">
            <w:pPr>
              <w:jc w:val="both"/>
              <w:rPr>
                <w:rFonts w:ascii="Arial" w:eastAsia="Times New Roman" w:hAnsi="Arial" w:cs="Arial"/>
                <w:lang w:val="es-ES" w:eastAsia="es-ES"/>
              </w:rPr>
            </w:pPr>
            <w:r w:rsidRPr="007E31DC">
              <w:rPr>
                <w:rFonts w:ascii="Arial" w:eastAsia="Times New Roman" w:hAnsi="Arial" w:cs="Arial"/>
                <w:lang w:val="es-ES" w:eastAsia="es-ES"/>
              </w:rPr>
              <w:t>En los procesos de reforma y adición deberá considerarse la consulta pública. El R. Ayuntamiento establecerá las reglas y procedimientos para la participación ciudadana.</w:t>
            </w:r>
          </w:p>
        </w:tc>
        <w:tc>
          <w:tcPr>
            <w:tcW w:w="4489" w:type="dxa"/>
          </w:tcPr>
          <w:p w:rsidR="007E31DC" w:rsidRPr="007E31DC" w:rsidRDefault="007E31DC" w:rsidP="007E31DC">
            <w:pPr>
              <w:jc w:val="both"/>
              <w:rPr>
                <w:rFonts w:ascii="Arial" w:eastAsia="Helvetica" w:hAnsi="Arial" w:cs="Arial"/>
                <w:color w:val="000000"/>
                <w:bdr w:val="nil"/>
                <w:lang w:eastAsia="es-MX"/>
              </w:rPr>
            </w:pPr>
            <w:r w:rsidRPr="007E31DC">
              <w:rPr>
                <w:rFonts w:ascii="Arial" w:eastAsia="Helvetica" w:hAnsi="Arial" w:cs="Arial"/>
                <w:color w:val="000000"/>
                <w:bdr w:val="nil"/>
                <w:lang w:eastAsia="es-MX"/>
              </w:rPr>
              <w:t>Capítulo IX</w:t>
            </w:r>
          </w:p>
          <w:p w:rsidR="007E31DC" w:rsidRPr="007E31DC" w:rsidRDefault="007E31DC" w:rsidP="007E31DC">
            <w:pPr>
              <w:jc w:val="both"/>
              <w:rPr>
                <w:rFonts w:ascii="Arial" w:eastAsia="Helvetica" w:hAnsi="Arial" w:cs="Arial"/>
                <w:color w:val="000000"/>
                <w:bdr w:val="nil"/>
                <w:lang w:eastAsia="es-MX"/>
              </w:rPr>
            </w:pPr>
          </w:p>
          <w:p w:rsidR="007E31DC" w:rsidRPr="007E31DC" w:rsidRDefault="007E31DC" w:rsidP="007E31DC">
            <w:pPr>
              <w:jc w:val="both"/>
              <w:rPr>
                <w:rFonts w:ascii="Arial" w:eastAsia="Helvetica" w:hAnsi="Arial" w:cs="Arial"/>
                <w:color w:val="000000"/>
                <w:bdr w:val="nil"/>
                <w:lang w:eastAsia="es-MX"/>
              </w:rPr>
            </w:pPr>
            <w:r w:rsidRPr="007E31DC">
              <w:rPr>
                <w:rFonts w:ascii="Arial" w:eastAsia="Helvetica" w:hAnsi="Arial" w:cs="Arial"/>
                <w:color w:val="000000"/>
                <w:bdr w:val="nil"/>
                <w:lang w:eastAsia="es-MX"/>
              </w:rPr>
              <w:t>DEL PROCEDIMIENTO DE REVISIÓN Y CONSULTA</w:t>
            </w:r>
          </w:p>
          <w:p w:rsidR="007E31DC" w:rsidRPr="007E31DC" w:rsidRDefault="007E31DC" w:rsidP="007E31DC">
            <w:pPr>
              <w:jc w:val="both"/>
              <w:rPr>
                <w:rFonts w:ascii="Arial" w:eastAsia="Helvetica" w:hAnsi="Arial" w:cs="Arial"/>
                <w:color w:val="000000"/>
                <w:bdr w:val="nil"/>
                <w:lang w:eastAsia="es-MX"/>
              </w:rPr>
            </w:pPr>
          </w:p>
          <w:p w:rsidR="007E31DC" w:rsidRPr="007E31DC" w:rsidRDefault="007E31DC" w:rsidP="007E31DC">
            <w:pPr>
              <w:jc w:val="both"/>
              <w:rPr>
                <w:rFonts w:ascii="Arial" w:eastAsia="Helvetica" w:hAnsi="Arial" w:cs="Arial"/>
                <w:color w:val="000000"/>
                <w:bdr w:val="nil"/>
                <w:lang w:eastAsia="es-MX"/>
              </w:rPr>
            </w:pPr>
            <w:r w:rsidRPr="007E31DC">
              <w:rPr>
                <w:rFonts w:ascii="Arial" w:eastAsia="Helvetica" w:hAnsi="Arial" w:cs="Arial"/>
                <w:color w:val="000000"/>
                <w:bdr w:val="nil"/>
                <w:lang w:eastAsia="es-MX"/>
              </w:rPr>
              <w:t>ARTÍCULO 37. Para la revisión y consulta del presente Reglamento  la comunidad podrá hacer llegar sus opiniones y observaciones por escrito  a la Comisión de Gobernación, Reglamentación y Mejora Regulatoria, la cual recibirá y atenderá cualquier sugerencia que sea presentada por la ciudadanía. El promovente deberá argumentar en el escrito de referencia las razones que sustenten sus opiniones y observaciones con respecto al Reglamento Municipal.</w:t>
            </w:r>
          </w:p>
          <w:p w:rsidR="007E31DC" w:rsidRPr="007E31DC" w:rsidRDefault="007E31DC" w:rsidP="007E31DC">
            <w:pPr>
              <w:jc w:val="both"/>
              <w:rPr>
                <w:rFonts w:ascii="Arial" w:eastAsia="Helvetica" w:hAnsi="Arial" w:cs="Arial"/>
                <w:color w:val="000000"/>
                <w:bdr w:val="nil"/>
                <w:lang w:eastAsia="es-MX"/>
              </w:rPr>
            </w:pPr>
          </w:p>
          <w:p w:rsidR="007E31DC" w:rsidRPr="007E31DC" w:rsidRDefault="007E31DC" w:rsidP="007E31DC">
            <w:pPr>
              <w:jc w:val="both"/>
              <w:rPr>
                <w:rFonts w:ascii="Arial" w:eastAsia="Helvetica" w:hAnsi="Arial" w:cs="Arial"/>
                <w:color w:val="000000"/>
                <w:bdr w:val="nil"/>
                <w:lang w:eastAsia="es-MX"/>
              </w:rPr>
            </w:pPr>
            <w:r w:rsidRPr="007E31DC">
              <w:rPr>
                <w:rFonts w:ascii="Arial" w:eastAsia="Helvetica" w:hAnsi="Arial" w:cs="Arial"/>
                <w:color w:val="000000"/>
                <w:bdr w:val="nil"/>
                <w:lang w:eastAsia="es-MX"/>
              </w:rPr>
              <w:t xml:space="preserve">ARTÍCULO 38. La Comisión deberá en un plazo no mayor de 60 días hábiles, analizar, estudiar y dictaminar las propuestas. En caso de resultar fundadas las propuestas planteadas, se hará del conocimiento del Ayuntamiento para su consideración. Se deberá informar al promovente la procedencia o </w:t>
            </w:r>
            <w:r w:rsidRPr="007E31DC">
              <w:rPr>
                <w:rFonts w:ascii="Arial" w:eastAsia="Helvetica" w:hAnsi="Arial" w:cs="Arial"/>
                <w:color w:val="000000"/>
                <w:bdr w:val="nil"/>
                <w:lang w:eastAsia="es-MX"/>
              </w:rPr>
              <w:lastRenderedPageBreak/>
              <w:t>improcedencia de sus propuestas.</w:t>
            </w:r>
          </w:p>
        </w:tc>
      </w:tr>
      <w:tr w:rsidR="007E31DC" w:rsidRPr="007E31DC" w:rsidTr="001546E8">
        <w:trPr>
          <w:trHeight w:val="1217"/>
        </w:trPr>
        <w:tc>
          <w:tcPr>
            <w:tcW w:w="8978" w:type="dxa"/>
            <w:gridSpan w:val="2"/>
            <w:tcBorders>
              <w:bottom w:val="single" w:sz="4" w:space="0" w:color="auto"/>
            </w:tcBorders>
          </w:tcPr>
          <w:p w:rsidR="007E31DC" w:rsidRPr="007E31DC" w:rsidRDefault="007E31DC" w:rsidP="007E31DC">
            <w:pPr>
              <w:jc w:val="center"/>
              <w:rPr>
                <w:rFonts w:ascii="Arial" w:eastAsia="Helvetica" w:hAnsi="Arial" w:cs="Arial"/>
                <w:b/>
                <w:color w:val="000000"/>
                <w:bdr w:val="nil"/>
                <w:lang w:eastAsia="es-MX"/>
              </w:rPr>
            </w:pPr>
          </w:p>
          <w:p w:rsidR="007E31DC" w:rsidRPr="007E31DC" w:rsidRDefault="007E31DC" w:rsidP="007E31DC">
            <w:pPr>
              <w:jc w:val="center"/>
              <w:rPr>
                <w:rFonts w:ascii="Arial" w:eastAsia="Helvetica" w:hAnsi="Arial" w:cs="Arial"/>
                <w:b/>
                <w:color w:val="000000"/>
                <w:bdr w:val="nil"/>
                <w:lang w:eastAsia="es-MX"/>
              </w:rPr>
            </w:pPr>
            <w:r w:rsidRPr="007E31DC">
              <w:rPr>
                <w:rFonts w:ascii="Arial" w:eastAsia="Helvetica" w:hAnsi="Arial" w:cs="Arial"/>
                <w:b/>
                <w:color w:val="000000"/>
                <w:bdr w:val="nil"/>
                <w:lang w:eastAsia="es-MX"/>
              </w:rPr>
              <w:t>TRANSITORIO</w:t>
            </w:r>
          </w:p>
          <w:p w:rsidR="007E31DC" w:rsidRPr="007E31DC" w:rsidRDefault="007E31DC" w:rsidP="007E31DC">
            <w:pPr>
              <w:jc w:val="center"/>
              <w:rPr>
                <w:rFonts w:ascii="Arial" w:eastAsia="Helvetica" w:hAnsi="Arial" w:cs="Arial"/>
                <w:b/>
                <w:color w:val="000000"/>
                <w:bdr w:val="nil"/>
                <w:lang w:eastAsia="es-MX"/>
              </w:rPr>
            </w:pPr>
          </w:p>
          <w:p w:rsidR="007E31DC" w:rsidRPr="007E31DC" w:rsidRDefault="007E31DC" w:rsidP="007E31DC">
            <w:pPr>
              <w:rPr>
                <w:rFonts w:ascii="Arial" w:eastAsia="Times New Roman" w:hAnsi="Arial" w:cs="Arial"/>
                <w:b/>
                <w:lang w:val="es-ES" w:eastAsia="es-ES"/>
              </w:rPr>
            </w:pPr>
            <w:r w:rsidRPr="007E31DC">
              <w:rPr>
                <w:rFonts w:ascii="Arial" w:eastAsia="Times New Roman" w:hAnsi="Arial" w:cs="Arial"/>
                <w:lang w:val="es-ES" w:eastAsia="es-ES"/>
              </w:rPr>
              <w:t>ÚNICO. Las presentes reformas entrarán en vigor a partir de su publicación en el Periódico Oficial del Estado.</w:t>
            </w:r>
          </w:p>
        </w:tc>
      </w:tr>
    </w:tbl>
    <w:p w:rsidR="00964742" w:rsidRPr="007E31DC" w:rsidRDefault="00964742">
      <w:pPr>
        <w:rPr>
          <w:lang w:val="es-ES"/>
        </w:rPr>
      </w:pPr>
    </w:p>
    <w:sectPr w:rsidR="00964742" w:rsidRPr="007E31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1DC"/>
    <w:rsid w:val="00174C14"/>
    <w:rsid w:val="007E31DC"/>
    <w:rsid w:val="009647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E31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E31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756</Words>
  <Characters>4158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Heberto Isidro Ramos Gonzalez</dc:creator>
  <cp:lastModifiedBy>Gloria Yolanda Garza de León</cp:lastModifiedBy>
  <cp:revision>2</cp:revision>
  <dcterms:created xsi:type="dcterms:W3CDTF">2016-02-15T16:55:00Z</dcterms:created>
  <dcterms:modified xsi:type="dcterms:W3CDTF">2016-02-15T18:13:00Z</dcterms:modified>
</cp:coreProperties>
</file>